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</w:rPr>
      </w:pPr>
      <w:bookmarkStart w:id="0" w:name="_GoBack"/>
      <w:r>
        <w:rPr>
          <w:rFonts w:hint="default"/>
        </w:rPr>
        <w:t>A Szerb Köztársaság Vajdaság</w:t>
      </w:r>
    </w:p>
    <w:p>
      <w:pPr>
        <w:jc w:val="both"/>
        <w:rPr>
          <w:rFonts w:hint="default"/>
        </w:rPr>
      </w:pPr>
      <w:r>
        <w:rPr>
          <w:rFonts w:hint="default"/>
        </w:rPr>
        <w:t>A település Žitište</w:t>
      </w:r>
    </w:p>
    <w:p>
      <w:pPr>
        <w:jc w:val="both"/>
        <w:rPr>
          <w:rFonts w:hint="default"/>
        </w:rPr>
      </w:pPr>
      <w:r>
        <w:rPr>
          <w:rFonts w:hint="default"/>
        </w:rPr>
        <w:t>ÖNKORMÁNYZATI UPTRAVA Žitište</w:t>
      </w:r>
    </w:p>
    <w:p>
      <w:pPr>
        <w:jc w:val="both"/>
        <w:rPr>
          <w:rFonts w:hint="default"/>
        </w:rPr>
      </w:pPr>
      <w:r>
        <w:rPr>
          <w:rFonts w:hint="default"/>
        </w:rPr>
        <w:t>Privrdu Department of Urban Planning,</w:t>
      </w:r>
    </w:p>
    <w:p>
      <w:pPr>
        <w:jc w:val="both"/>
        <w:rPr>
          <w:rFonts w:hint="default"/>
        </w:rPr>
      </w:pPr>
      <w:r>
        <w:rPr>
          <w:rFonts w:hint="default"/>
        </w:rPr>
        <w:t>közúti gazdaság</w:t>
      </w:r>
    </w:p>
    <w:p>
      <w:pPr>
        <w:jc w:val="both"/>
        <w:rPr>
          <w:rFonts w:hint="default"/>
        </w:rPr>
      </w:pPr>
      <w:r>
        <w:rPr>
          <w:rFonts w:hint="default"/>
        </w:rPr>
        <w:t>Utility és Lakásügyi Minisztérium</w:t>
      </w:r>
    </w:p>
    <w:p>
      <w:pPr>
        <w:jc w:val="both"/>
        <w:rPr>
          <w:rFonts w:hint="default"/>
        </w:rPr>
      </w:pPr>
      <w:r>
        <w:rPr>
          <w:rFonts w:hint="default"/>
        </w:rPr>
        <w:t>és a környezetvédelem</w:t>
      </w:r>
    </w:p>
    <w:p>
      <w:pPr>
        <w:jc w:val="both"/>
        <w:rPr>
          <w:rFonts w:hint="default"/>
        </w:rPr>
      </w:pPr>
      <w:r>
        <w:rPr>
          <w:rFonts w:hint="default"/>
        </w:rPr>
        <w:t>Száma III 05 501 10/2017</w:t>
      </w:r>
    </w:p>
    <w:p>
      <w:pPr>
        <w:jc w:val="both"/>
        <w:rPr>
          <w:rFonts w:hint="default"/>
        </w:rPr>
      </w:pPr>
      <w:r>
        <w:rPr>
          <w:rFonts w:hint="default"/>
        </w:rPr>
        <w:t>Dana: 28/03/2017</w:t>
      </w:r>
    </w:p>
    <w:p>
      <w:pPr>
        <w:jc w:val="both"/>
        <w:rPr>
          <w:rFonts w:hint="default"/>
        </w:rPr>
      </w:pPr>
      <w:r>
        <w:rPr>
          <w:rFonts w:hint="default"/>
        </w:rPr>
        <w:t>  Z i t i s t e</w:t>
      </w: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  <w:r>
        <w:rPr>
          <w:rFonts w:hint="default"/>
        </w:rPr>
        <w:t>RELEASE</w:t>
      </w:r>
    </w:p>
    <w:p>
      <w:pPr>
        <w:jc w:val="both"/>
        <w:rPr>
          <w:rFonts w:hint="default"/>
        </w:rPr>
      </w:pPr>
    </w:p>
    <w:p>
      <w:pPr>
        <w:jc w:val="both"/>
      </w:pPr>
      <w:r>
        <w:rPr>
          <w:rFonts w:hint="default"/>
        </w:rPr>
        <w:t> A közlemény a kérelem körének meghatározása és tartalma EIA projekt DOO „BIELEKTRONIK-NAK” Čestereg származó Čestereg ul.M. Tiat No.22 képviselik Borenović Mitar származó Kula, május 1-jén, nem. 16. „biogáz üzemek villamos energia és hő-energia” teljesítmény 600kw parcellánként 1326/2 KO Čestereg Pazova a környezetre. Az érdekelt nyilvánosság ellenőrzi a dokumentumok alkalmazása a projekt, minden nap 11-14 óráig a helyszínen Önkormányzati Žitište, és küldje el véleményét 15 napon belül.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0603D"/>
    <w:rsid w:val="0700603D"/>
    <w:rsid w:val="253A1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2017-04-03T08:12:00Z</dcterms:created>
  <dc:creator>Win</dc:creator>
  <cp:lastModifiedBy>Win</cp:lastModifiedBy>
  <dcterms:modified xsi:type="dcterms:W3CDTF">2017-04-03T08:18:41Z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